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C40" w:rsidRPr="00F02C40" w:rsidRDefault="00F02C40" w:rsidP="00F02C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0" w:name="_GoBack"/>
      <w:r w:rsidRPr="00F02C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Celkové nekonsolidované tržby koncernu AGROFERT</w:t>
      </w:r>
      <w:bookmarkEnd w:id="0"/>
      <w:r w:rsidRPr="00F02C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, a. s. dosáhly v roce 2013 hodnoty 236 mld. Kč</w:t>
      </w:r>
    </w:p>
    <w:p w:rsidR="00F02C40" w:rsidRPr="00F02C40" w:rsidRDefault="00F02C40" w:rsidP="00F02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2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PRAHA – 24. ledna 2014</w:t>
      </w:r>
    </w:p>
    <w:p w:rsidR="00F02C40" w:rsidRPr="00F02C40" w:rsidRDefault="00F02C40" w:rsidP="00F02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2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Na základě předběžných nekonsolidovaných výsledků realizovaly společnosti koncernu AGROFERT za rok 2013 celkové nekonsolidované tržby ve výši 236 mld. Kč, což je o 31 mld. Kč, respektive o 15 % více než za rok 2012. Tento nárůst byl z větší části dosažen nově začleněnými společnostmi do koncernu. Nové společnosti s nejvyššími tržbami byly německé pekárny </w:t>
      </w:r>
      <w:proofErr w:type="spellStart"/>
      <w:r w:rsidRPr="00F02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Lieken</w:t>
      </w:r>
      <w:proofErr w:type="spellEnd"/>
      <w:r w:rsidRPr="00F02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mediální skupina </w:t>
      </w:r>
      <w:proofErr w:type="spellStart"/>
      <w:r w:rsidRPr="00F02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Mafra</w:t>
      </w:r>
      <w:proofErr w:type="spellEnd"/>
      <w:r w:rsidRPr="00F02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výrobce a dodavatel zemědělských technologií </w:t>
      </w:r>
      <w:proofErr w:type="spellStart"/>
      <w:r w:rsidRPr="00F02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Farmtec</w:t>
      </w:r>
      <w:proofErr w:type="spellEnd"/>
      <w:r w:rsidRPr="00F02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 producent dřevěných obalů </w:t>
      </w:r>
      <w:proofErr w:type="spellStart"/>
      <w:r w:rsidRPr="00F02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Jilos</w:t>
      </w:r>
      <w:proofErr w:type="spellEnd"/>
      <w:r w:rsidRPr="00F02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:rsidR="00F02C40" w:rsidRPr="00F02C40" w:rsidRDefault="00F02C40" w:rsidP="00F02C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2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Předběžný nekonsolidovaný výsledek hospodaření před zdaněním očištěný o výnosy z přijatých dividend za rok 2013 byl dosažen na úrovni +5,7 mld. Kč, což je o 2 mld. Kč, respektive o 26 % horší výsledek než za předchozí rok. Pokles výsledku byl z části způsoben mimořádnou tvorbou opravných položek k dlouhodobému majetku ve výši přibližně 1,2 mld. Kč. Z pohledu výkonnosti jednotlivých segmentů koncernu došlo k poklesu výkonnosti v segmentu chemie a naopak k mírnému zlepšení výkonnosti v segmentech zemědělství, potravinářství a lesnictví. Za rok 2013 byla vytvořena EBITDA na úrovni 13,3 mld. Kč, která, na rozdíl od výsledku hospodaření, je oproti předchozímu roku vyšší o téměř 0,4 mld. Kč. Nejvyšší nárůst ukazatele EBITDA přinesly pekárny </w:t>
      </w:r>
      <w:proofErr w:type="spellStart"/>
      <w:r w:rsidRPr="00F02C40">
        <w:rPr>
          <w:rFonts w:ascii="Times New Roman" w:eastAsia="Times New Roman" w:hAnsi="Times New Roman" w:cs="Times New Roman"/>
          <w:sz w:val="24"/>
          <w:szCs w:val="24"/>
          <w:lang w:eastAsia="cs-CZ"/>
        </w:rPr>
        <w:t>Lieken</w:t>
      </w:r>
      <w:proofErr w:type="spellEnd"/>
      <w:r w:rsidRPr="00F02C40">
        <w:rPr>
          <w:rFonts w:ascii="Times New Roman" w:eastAsia="Times New Roman" w:hAnsi="Times New Roman" w:cs="Times New Roman"/>
          <w:sz w:val="24"/>
          <w:szCs w:val="24"/>
          <w:lang w:eastAsia="cs-CZ"/>
        </w:rPr>
        <w:t>. V roce 2013 byly vynaloženy investice v celkové výši přesahující 13,3 mld. Kč, z čehož zhruba 5,2 mld. Kč činily finanční investice. Mimo to byly realizovány investice do posílení vlastního kapitálu dceřiných společností koncernu ve výši téměř 9 mld. Kč.</w:t>
      </w:r>
    </w:p>
    <w:p w:rsidR="00F02C40" w:rsidRPr="00F02C40" w:rsidRDefault="00F02C40" w:rsidP="00F02C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2C40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výše čerpaných bankovních úvěrů k </w:t>
      </w:r>
      <w:proofErr w:type="gramStart"/>
      <w:r w:rsidRPr="00F02C40">
        <w:rPr>
          <w:rFonts w:ascii="Times New Roman" w:eastAsia="Times New Roman" w:hAnsi="Times New Roman" w:cs="Times New Roman"/>
          <w:sz w:val="24"/>
          <w:szCs w:val="24"/>
          <w:lang w:eastAsia="cs-CZ"/>
        </w:rPr>
        <w:t>31.12.2013</w:t>
      </w:r>
      <w:proofErr w:type="gramEnd"/>
      <w:r w:rsidRPr="00F02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činila 25 mld. Kč, což je v meziročním srovnání nárůst o 1,6 mld. Kč, respektive zvýšení o 7 %. U krátkodobého finančního majetku došlo k navýšení, a to na částku 5,3 mld. Kč. Jde o nárůst oproti minulému roku o 6,2 %. Ke konci roku 2013 činil fyzický počet zaměstnanců koncernu téměř 34 tisíc, což je o 5,7 tisíc zaměstnanců více než ke konci roku 2012. Nárůst byl rovněž dosažen především začleněním nových společností do koncernu, přičemž nejvíce zaměstnanců přivedly německé pekárny </w:t>
      </w:r>
      <w:proofErr w:type="spellStart"/>
      <w:r w:rsidRPr="00F02C40">
        <w:rPr>
          <w:rFonts w:ascii="Times New Roman" w:eastAsia="Times New Roman" w:hAnsi="Times New Roman" w:cs="Times New Roman"/>
          <w:sz w:val="24"/>
          <w:szCs w:val="24"/>
          <w:lang w:eastAsia="cs-CZ"/>
        </w:rPr>
        <w:t>Lieken</w:t>
      </w:r>
      <w:proofErr w:type="spellEnd"/>
      <w:r w:rsidRPr="00F02C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mediální skupina </w:t>
      </w:r>
      <w:proofErr w:type="spellStart"/>
      <w:r w:rsidRPr="00F02C40">
        <w:rPr>
          <w:rFonts w:ascii="Times New Roman" w:eastAsia="Times New Roman" w:hAnsi="Times New Roman" w:cs="Times New Roman"/>
          <w:sz w:val="24"/>
          <w:szCs w:val="24"/>
          <w:lang w:eastAsia="cs-CZ"/>
        </w:rPr>
        <w:t>Mafra</w:t>
      </w:r>
      <w:proofErr w:type="spellEnd"/>
      <w:r w:rsidRPr="00F02C4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E0298" w:rsidRDefault="003E0298"/>
    <w:sectPr w:rsidR="003E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C40"/>
    <w:rsid w:val="003E0298"/>
    <w:rsid w:val="00F0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02C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2C4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F0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0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02C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02C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2C4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F0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0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02C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Hanzelka Karel AGROFERT HOLDING</dc:creator>
  <cp:lastModifiedBy>Hanzelka Karel AGROFERT HOLDING</cp:lastModifiedBy>
  <cp:revision>1</cp:revision>
  <dcterms:created xsi:type="dcterms:W3CDTF">2015-06-24T19:49:00Z</dcterms:created>
  <dcterms:modified xsi:type="dcterms:W3CDTF">2015-06-24T19:50:00Z</dcterms:modified>
</cp:coreProperties>
</file>